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№24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24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0" w:name="_Toc74906439"/>
      <w:bookmarkStart w:id="1" w:name="_Toc74906439"/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ru-RU"/>
        </w:rPr>
        <w:t>ДЛЯ МЕДИЦИНСКОГО РЕГИСТРАТОРА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медицинского регистратора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Медицинский регистратор,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Медицинский регистратор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медицинского регистратора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Медицинский регистратор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медицинский регистратор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Медицинский регистратор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Медицинский регистратор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медицинского регистратора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напряженность труда;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психоэмоциональная нагрузка (взаимодействие с тяжелобольными, неадекватными, агрессивными пациентами, их родственниками и иными лицами);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Медицинский регистратор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Медицинский регистратор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1510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ind w:right="180" w:hanging="0"/>
        <w:rPr/>
      </w:pPr>
      <w:r>
        <w:rPr/>
      </w:r>
    </w:p>
    <w:sectPr>
      <w:type w:val="nextPage"/>
      <w:pgSz w:w="11906" w:h="16838"/>
      <w:pgMar w:left="1440" w:right="1440" w:header="0" w:top="851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978a6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0978a6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0978a6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0978a6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0978a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0978a6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0978a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0978a6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61b2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E7CF8-8B0B-4749-977E-A89A453C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LibreOffice/5.4.7.2$Windows_x86 LibreOffice_project/c838ef25c16710f8838b1faec480ebba495259d0</Application>
  <Pages>5</Pages>
  <Words>1218</Words>
  <Characters>8783</Characters>
  <CharactersWithSpaces>10197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2021-07-19T05:34:00Z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2022-03-23T10:05:57Z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