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  <w:t xml:space="preserve">          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№68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№71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14"/>
        <w:rPr>
          <w:lang w:val="ru-RU"/>
        </w:rPr>
      </w:pPr>
      <w:bookmarkStart w:id="0" w:name="_Toc74906376"/>
      <w:bookmarkStart w:id="1" w:name="_Toc74906376"/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ind w:right="-113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ind w:right="-113" w:hanging="0"/>
        <w:rPr>
          <w:rFonts w:ascii="Times New Roman" w:hAnsi="Times New Roman"/>
          <w:sz w:val="28"/>
          <w:szCs w:val="28"/>
          <w:lang w:val="ru-RU"/>
        </w:rPr>
      </w:pPr>
      <w:bookmarkStart w:id="2" w:name="_Toc74906376"/>
      <w:bookmarkEnd w:id="2"/>
      <w:r>
        <w:rPr>
          <w:rFonts w:ascii="Times New Roman" w:hAnsi="Times New Roman"/>
          <w:sz w:val="28"/>
          <w:szCs w:val="28"/>
          <w:lang w:val="ru-RU"/>
        </w:rPr>
        <w:t>ДЛЯ ВРАЧА-НЕОНАТОЛОГА</w:t>
      </w:r>
    </w:p>
    <w:p>
      <w:pPr>
        <w:pStyle w:val="Normal"/>
        <w:widowControl w:val="false"/>
        <w:tabs>
          <w:tab w:val="left" w:pos="8529" w:leader="none"/>
        </w:tabs>
        <w:ind w:right="-113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-113" w:hanging="0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врача-неонатолога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Врач-неонатолог,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Врач-неонатолог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врача-неонатолога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Врач-неонатолог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врач-неонатолог обязан: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Врач-неонатолог должен: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Врач-неонатолог должен знать:</w:t>
      </w:r>
    </w:p>
    <w:p>
      <w:pPr>
        <w:pStyle w:val="ConsPlusTitle"/>
        <w:numPr>
          <w:ilvl w:val="0"/>
          <w:numId w:val="0"/>
        </w:numPr>
        <w:ind w:right="-113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врача-неонатолога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 новорожденными детьми, неадекватными, агрессивными родителями и иными лицами); 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нервно-психическая нагрузка (работа в чрезвычайных ситуациях, сменный график работы, работа в ночную смену, дефицит сна и отдыха);</w:t>
      </w:r>
    </w:p>
    <w:p>
      <w:pPr>
        <w:pStyle w:val="ConsPlusTitle"/>
        <w:numPr>
          <w:ilvl w:val="0"/>
          <w:numId w:val="0"/>
        </w:numPr>
        <w:ind w:right="-113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повышение риска возникновения аварийных и стрессовых ситуаций в условиях дефицита рабочего времени, повышенной нервно-психической нагрузки, работы в ночное время;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Врач-неонатолог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right="-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right="-113" w:hanging="0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-113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Врач-неонатолог во время работы должен: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right="-113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right="-113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lineRule="auto" w:line="240" w:before="0" w:after="0"/>
        <w:ind w:right="-113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4.2.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-113" w:hanging="0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right="-113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right="-113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right="-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spacing w:lineRule="auto" w:line="240" w:before="0" w:after="0"/>
        <w:ind w:right="-113" w:hanging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>для врача-неонатолога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275730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275730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275730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275730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275730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4" w:customStyle="1">
    <w:name w:val="Заголовок 14"/>
    <w:basedOn w:val="Normal"/>
    <w:autoRedefine/>
    <w:qFormat/>
    <w:rsid w:val="00275730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5b3ebb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16C6C-281F-4760-B941-8043A8DB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LibreOffice/5.4.7.2$Windows_x86 LibreOffice_project/c838ef25c16710f8838b1faec480ebba495259d0</Application>
  <Pages>7</Pages>
  <Words>1330</Words>
  <Characters>9391</Characters>
  <CharactersWithSpaces>10896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2021-08-25T06:55:00Z</dcterms:created>
  <dc:creator>user02</dc:creator>
  <dc:description/>
  <dc:language>ru-RU</dc:language>
  <cp:lastModifiedBy/>
  <cp:lastPrinted>2021-08-25T06:55:00Z</cp:lastPrinted>
  <dcterms:modified xsi:type="dcterms:W3CDTF">2022-03-24T10:41:21Z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