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  <w:t>ИОТ №4</w:t>
      </w:r>
      <w:r>
        <w:rPr>
          <w:rFonts w:cs="Times New Roman"/>
          <w:bCs/>
          <w:color w:val="000000"/>
          <w:sz w:val="28"/>
          <w:szCs w:val="28"/>
          <w:lang w:val="ru-RU"/>
        </w:rPr>
        <w:t>4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43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системного администратора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самостоятельной работе системным администратором допускаются лица, прошедшие при поступлении на работу вводный инструктаж по охране труда, инструктаж по электробезопасности на рабочем месте (с присвоением соответствующей группы по электробезопасности), обучение и проверку знаний по охране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1.2. Системный администратор должен: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знать действие на человека опасных и вредных производственных факторов, возникающих во время работы;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требования производственной санитарии, электробезопасности и пожарной безопасности;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знать место расположения огнетушителей и аптечек;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знать правила внутреннего трудового распорядка, установленные на предприятии;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знать назначение средств индивидуальной защиты (СИЗ);</w:t>
      </w:r>
    </w:p>
    <w:p>
      <w:pPr>
        <w:pStyle w:val="Normal"/>
        <w:numPr>
          <w:ilvl w:val="0"/>
          <w:numId w:val="1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уметь оказывать первую помощь пострадавшим, пользоваться средствами пожаротушения.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Во время работы на системного администратора могут воздействовать следующие опасные факторы: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повышенный уровень электромагнитных излучений;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повышенный уровень ионизирующих излучений (у мониторов на электронно-лучевых трубках);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повышенный уровень статического электричества;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повышенная напряженность электростатического поля; – повышенная или пониженная ионизация воздуха;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повышенная яркость света;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прямая и отраженная блесткость;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повышенное напряжение в электрической цепи, замыкание которой может произойти через тело человека;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статические перегрузки костно-мышечного аппарата и динамические локальные перегрузки мышц кистей рук;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повышенный уровень загазованности и запыленности воздуха (в первую очередь по углекислому газу и аммиаку, которые образуются при выдыхании), особенно в плохо вентилируемых помещениях;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перенапряжение органов зрения;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повышенный уровень шума от работающих вентилятора охлаждения ПК и принтера, от неотрегулированных источников люминесцентного освещения и др.;</w:t>
      </w:r>
    </w:p>
    <w:p>
      <w:pPr>
        <w:pStyle w:val="Normal"/>
        <w:numPr>
          <w:ilvl w:val="0"/>
          <w:numId w:val="2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умственное перенапряжение, эмоциональные перегрузки и монотонность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Нормы и сроки выдачи СИЗ определяются согласно Типовым отраслевым нормам бесплатной выдачи рабочим и служащим специальной одежды, специальной обуви и других СИЗ.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Площадь на одно рабочее место с персональным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компьютеров на базе электронно-лучевой трубки, должна составлять не менее 6 м, на базе плоских дискретных экранов (жидкокристаллические, плазменные) – не менее 4,5 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Оснащение светопроницаемых конструкций и оконных проёмов должно позволять регулировать параметры световой среды в помещении.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Перед началом работы системный администратор обязан: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осмотреть и привести в порядок рабочее место;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отрегулировать освещенность на рабочем месте, убедиться в достаточности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освещенности, отсутствии отражений на экране, отсутствии встречного светового потока;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проверить правильность подключения оборудования в электросеть;</w:t>
      </w:r>
    </w:p>
    <w:p>
      <w:pPr>
        <w:pStyle w:val="Normal"/>
        <w:numPr>
          <w:ilvl w:val="0"/>
          <w:numId w:val="3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проверить правильность установки стола, стула, подставки для ног,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При включении компьютера соблюдать правила электробезопасности.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Системному администратору запрещается приступать к работе при: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отсутствии информации о соответствии параметров данного оборудования требованиям санитарных норм;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обнаружении неисправности оборудования;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отсутствии защитного заземления электрооборудования;</w:t>
      </w:r>
    </w:p>
    <w:p>
      <w:pPr>
        <w:pStyle w:val="Normal"/>
        <w:numPr>
          <w:ilvl w:val="0"/>
          <w:numId w:val="4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огнетушителя и аптечки первой помощи.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Системный администратор во время работы обязан: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которая ему была поручена, и по которой он был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проинструктирован;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 течение всего рабочего дня содержать в порядке и чистоте рабочее место;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санитарные нормы и режимы работы и отдыха;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правила эксплуатации вычислительной техники в соответствии с инструкциями по эксплуатации;</w:t>
      </w:r>
    </w:p>
    <w:p>
      <w:pPr>
        <w:pStyle w:val="Normal"/>
        <w:numPr>
          <w:ilvl w:val="0"/>
          <w:numId w:val="5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установленные режимом рабочего времени регламентированные перерывы в работе и выполнять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упражнения для глаз, шеи, рук, туловища, ног.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Системному администратору во время работы запрещается: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прикасаться к задней панели системного блока (процессора) при включенном питании;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переключать разъемы интерфейсных кабелей периферийных устройств при включенном питании;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загромождать верхние панели устройств бумагами и посторонними предметами;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допускать захламленность рабочего места;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производить отключение питания во время выполнения активной задачи;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включать сильноохлажденное (например, принесенное с улицы в зимнее время) оборудование;</w:t>
      </w:r>
    </w:p>
    <w:p>
      <w:pPr>
        <w:pStyle w:val="Normal"/>
        <w:numPr>
          <w:ilvl w:val="0"/>
          <w:numId w:val="6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производить самостоятельно вскрытие и ремонт оборудования (если это не входит в рабочие обязанности).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4.1. Системный администратор обязан: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своему непосредственному руководителю и дежурному электрику;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обнаружении человека, попавшего под напряжение, немедленно освободить его от действия тока путем отключения электропитания и до прибытия врача оказать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потерпевшему первую медицинскую помощь;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обнаружении пострадавшего немедленно вызвать медицинских работников, до их прибытия оказать пострадавшему первую помощь и, по возможности, сохранить текущую обстановку на месте происшествия для возможности дальнейшего расследования несчастного случая;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любых случаях сбоя в работе технического оборудования или программного обеспечения немедленно вызвать представителя инженерно-технической службы эксплуатации вычислительной техники;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 случае появления недомогания (рези в глазах, резком ухудшении видимости, невозможности сфокусировать взгляд или навести его на резкость, появлении боли в пальцах и кистях рук, усилении сердцебиения и пр.) немедленно покинуть рабочее место, сообщить о происшедшем своему непосредственному руководителю и обратиться к врачу;</w:t>
      </w:r>
    </w:p>
    <w:p>
      <w:pPr>
        <w:pStyle w:val="Normal"/>
        <w:numPr>
          <w:ilvl w:val="0"/>
          <w:numId w:val="7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возгорании оборудования отключить питание и принять меры к тушению очага пожара при помощи огнетушителя, если это не угрожает собственной жизни и здоровью, вызвать пожарную команду и сообщить о происшествии своему непосредственному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руководителю.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По окончании работ системный администратор обязан соблюдать следующую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последовательность выключения техники: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произвести закрытие всех активных задач;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выключить питание системного блока (процессора);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выключить питание всех периферийных устройств;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привести в порядок свое рабочее место;</w:t>
      </w:r>
    </w:p>
    <w:p>
      <w:pPr>
        <w:pStyle w:val="Normal"/>
        <w:numPr>
          <w:ilvl w:val="0"/>
          <w:numId w:val="8"/>
        </w:numPr>
        <w:ind w:left="780" w:right="180" w:hanging="360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снять и убрать в предназначенное для этого место спецодежду, спецобувь и СИЗ.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По окончании работ системный администратор обязан осмотреть и привести в порядок рабочее место, вымыть с мылом руки и лицо.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>
    <w:name w:val="ListLabel 1"/>
    <w:qFormat/>
    <w:rPr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8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8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8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8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8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8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rFonts w:cs="Symbol"/>
      <w:sz w:val="28"/>
    </w:rPr>
  </w:style>
  <w:style w:type="character" w:styleId="ListLabel74">
    <w:name w:val="ListLabel 74"/>
    <w:qFormat/>
    <w:rPr>
      <w:rFonts w:cs="Courier New"/>
      <w:sz w:val="20"/>
    </w:rPr>
  </w:style>
  <w:style w:type="character" w:styleId="ListLabel75">
    <w:name w:val="ListLabel 75"/>
    <w:qFormat/>
    <w:rPr>
      <w:rFonts w:cs="Wingdings"/>
      <w:sz w:val="20"/>
    </w:rPr>
  </w:style>
  <w:style w:type="character" w:styleId="ListLabel76">
    <w:name w:val="ListLabel 76"/>
    <w:qFormat/>
    <w:rPr>
      <w:rFonts w:cs="Wingdings"/>
      <w:sz w:val="20"/>
    </w:rPr>
  </w:style>
  <w:style w:type="character" w:styleId="ListLabel77">
    <w:name w:val="ListLabel 77"/>
    <w:qFormat/>
    <w:rPr>
      <w:rFonts w:cs="Wingdings"/>
      <w:sz w:val="20"/>
    </w:rPr>
  </w:style>
  <w:style w:type="character" w:styleId="ListLabel78">
    <w:name w:val="ListLabel 78"/>
    <w:qFormat/>
    <w:rPr>
      <w:rFonts w:cs="Wingdings"/>
      <w:sz w:val="20"/>
    </w:rPr>
  </w:style>
  <w:style w:type="character" w:styleId="ListLabel79">
    <w:name w:val="ListLabel 79"/>
    <w:qFormat/>
    <w:rPr>
      <w:rFonts w:cs="Wingdings"/>
      <w:sz w:val="20"/>
    </w:rPr>
  </w:style>
  <w:style w:type="character" w:styleId="ListLabel80">
    <w:name w:val="ListLabel 80"/>
    <w:qFormat/>
    <w:rPr>
      <w:rFonts w:cs="Wingdings"/>
      <w:sz w:val="20"/>
    </w:rPr>
  </w:style>
  <w:style w:type="character" w:styleId="ListLabel81">
    <w:name w:val="ListLabel 81"/>
    <w:qFormat/>
    <w:rPr>
      <w:rFonts w:cs="Wingdings"/>
      <w:sz w:val="20"/>
    </w:rPr>
  </w:style>
  <w:style w:type="character" w:styleId="ListLabel82">
    <w:name w:val="ListLabel 82"/>
    <w:qFormat/>
    <w:rPr>
      <w:rFonts w:cs="Symbol"/>
      <w:sz w:val="28"/>
    </w:rPr>
  </w:style>
  <w:style w:type="character" w:styleId="ListLabel83">
    <w:name w:val="ListLabel 83"/>
    <w:qFormat/>
    <w:rPr>
      <w:rFonts w:cs="Courier New"/>
      <w:sz w:val="20"/>
    </w:rPr>
  </w:style>
  <w:style w:type="character" w:styleId="ListLabel84">
    <w:name w:val="ListLabel 84"/>
    <w:qFormat/>
    <w:rPr>
      <w:rFonts w:cs="Wingdings"/>
      <w:sz w:val="20"/>
    </w:rPr>
  </w:style>
  <w:style w:type="character" w:styleId="ListLabel85">
    <w:name w:val="ListLabel 85"/>
    <w:qFormat/>
    <w:rPr>
      <w:rFonts w:cs="Wingdings"/>
      <w:sz w:val="20"/>
    </w:rPr>
  </w:style>
  <w:style w:type="character" w:styleId="ListLabel86">
    <w:name w:val="ListLabel 86"/>
    <w:qFormat/>
    <w:rPr>
      <w:rFonts w:cs="Wingdings"/>
      <w:sz w:val="20"/>
    </w:rPr>
  </w:style>
  <w:style w:type="character" w:styleId="ListLabel87">
    <w:name w:val="ListLabel 87"/>
    <w:qFormat/>
    <w:rPr>
      <w:rFonts w:cs="Wingdings"/>
      <w:sz w:val="20"/>
    </w:rPr>
  </w:style>
  <w:style w:type="character" w:styleId="ListLabel88">
    <w:name w:val="ListLabel 88"/>
    <w:qFormat/>
    <w:rPr>
      <w:rFonts w:cs="Wingdings"/>
      <w:sz w:val="20"/>
    </w:rPr>
  </w:style>
  <w:style w:type="character" w:styleId="ListLabel89">
    <w:name w:val="ListLabel 89"/>
    <w:qFormat/>
    <w:rPr>
      <w:rFonts w:cs="Wingdings"/>
      <w:sz w:val="20"/>
    </w:rPr>
  </w:style>
  <w:style w:type="character" w:styleId="ListLabel90">
    <w:name w:val="ListLabel 90"/>
    <w:qFormat/>
    <w:rPr>
      <w:rFonts w:cs="Wingdings"/>
      <w:sz w:val="20"/>
    </w:rPr>
  </w:style>
  <w:style w:type="character" w:styleId="ListLabel91">
    <w:name w:val="ListLabel 91"/>
    <w:qFormat/>
    <w:rPr>
      <w:rFonts w:cs="Symbol"/>
      <w:sz w:val="28"/>
    </w:rPr>
  </w:style>
  <w:style w:type="character" w:styleId="ListLabel92">
    <w:name w:val="ListLabel 92"/>
    <w:qFormat/>
    <w:rPr>
      <w:rFonts w:cs="Courier New"/>
      <w:sz w:val="20"/>
    </w:rPr>
  </w:style>
  <w:style w:type="character" w:styleId="ListLabel93">
    <w:name w:val="ListLabel 93"/>
    <w:qFormat/>
    <w:rPr>
      <w:rFonts w:cs="Wingdings"/>
      <w:sz w:val="20"/>
    </w:rPr>
  </w:style>
  <w:style w:type="character" w:styleId="ListLabel94">
    <w:name w:val="ListLabel 94"/>
    <w:qFormat/>
    <w:rPr>
      <w:rFonts w:cs="Wingdings"/>
      <w:sz w:val="20"/>
    </w:rPr>
  </w:style>
  <w:style w:type="character" w:styleId="ListLabel95">
    <w:name w:val="ListLabel 95"/>
    <w:qFormat/>
    <w:rPr>
      <w:rFonts w:cs="Wingdings"/>
      <w:sz w:val="20"/>
    </w:rPr>
  </w:style>
  <w:style w:type="character" w:styleId="ListLabel96">
    <w:name w:val="ListLabel 96"/>
    <w:qFormat/>
    <w:rPr>
      <w:rFonts w:cs="Wingdings"/>
      <w:sz w:val="20"/>
    </w:rPr>
  </w:style>
  <w:style w:type="character" w:styleId="ListLabel97">
    <w:name w:val="ListLabel 97"/>
    <w:qFormat/>
    <w:rPr>
      <w:rFonts w:cs="Wingdings"/>
      <w:sz w:val="20"/>
    </w:rPr>
  </w:style>
  <w:style w:type="character" w:styleId="ListLabel98">
    <w:name w:val="ListLabel 98"/>
    <w:qFormat/>
    <w:rPr>
      <w:rFonts w:cs="Wingdings"/>
      <w:sz w:val="20"/>
    </w:rPr>
  </w:style>
  <w:style w:type="character" w:styleId="ListLabel99">
    <w:name w:val="ListLabel 99"/>
    <w:qFormat/>
    <w:rPr>
      <w:rFonts w:cs="Wingdings"/>
      <w:sz w:val="20"/>
    </w:rPr>
  </w:style>
  <w:style w:type="character" w:styleId="ListLabel100">
    <w:name w:val="ListLabel 100"/>
    <w:qFormat/>
    <w:rPr>
      <w:rFonts w:cs="Symbol"/>
      <w:sz w:val="28"/>
    </w:rPr>
  </w:style>
  <w:style w:type="character" w:styleId="ListLabel101">
    <w:name w:val="ListLabel 101"/>
    <w:qFormat/>
    <w:rPr>
      <w:rFonts w:cs="Courier New"/>
      <w:sz w:val="20"/>
    </w:rPr>
  </w:style>
  <w:style w:type="character" w:styleId="ListLabel102">
    <w:name w:val="ListLabel 102"/>
    <w:qFormat/>
    <w:rPr>
      <w:rFonts w:cs="Wingdings"/>
      <w:sz w:val="20"/>
    </w:rPr>
  </w:style>
  <w:style w:type="character" w:styleId="ListLabel103">
    <w:name w:val="ListLabel 103"/>
    <w:qFormat/>
    <w:rPr>
      <w:rFonts w:cs="Wingdings"/>
      <w:sz w:val="20"/>
    </w:rPr>
  </w:style>
  <w:style w:type="character" w:styleId="ListLabel104">
    <w:name w:val="ListLabel 104"/>
    <w:qFormat/>
    <w:rPr>
      <w:rFonts w:cs="Wingdings"/>
      <w:sz w:val="20"/>
    </w:rPr>
  </w:style>
  <w:style w:type="character" w:styleId="ListLabel105">
    <w:name w:val="ListLabel 105"/>
    <w:qFormat/>
    <w:rPr>
      <w:rFonts w:cs="Wingdings"/>
      <w:sz w:val="20"/>
    </w:rPr>
  </w:style>
  <w:style w:type="character" w:styleId="ListLabel106">
    <w:name w:val="ListLabel 106"/>
    <w:qFormat/>
    <w:rPr>
      <w:rFonts w:cs="Wingdings"/>
      <w:sz w:val="20"/>
    </w:rPr>
  </w:style>
  <w:style w:type="character" w:styleId="ListLabel107">
    <w:name w:val="ListLabel 107"/>
    <w:qFormat/>
    <w:rPr>
      <w:rFonts w:cs="Wingdings"/>
      <w:sz w:val="20"/>
    </w:rPr>
  </w:style>
  <w:style w:type="character" w:styleId="ListLabel108">
    <w:name w:val="ListLabel 108"/>
    <w:qFormat/>
    <w:rPr>
      <w:rFonts w:cs="Wingdings"/>
      <w:sz w:val="20"/>
    </w:rPr>
  </w:style>
  <w:style w:type="character" w:styleId="ListLabel109">
    <w:name w:val="ListLabel 109"/>
    <w:qFormat/>
    <w:rPr>
      <w:rFonts w:cs="Symbol"/>
      <w:sz w:val="28"/>
    </w:rPr>
  </w:style>
  <w:style w:type="character" w:styleId="ListLabel110">
    <w:name w:val="ListLabel 110"/>
    <w:qFormat/>
    <w:rPr>
      <w:rFonts w:cs="Courier New"/>
      <w:sz w:val="20"/>
    </w:rPr>
  </w:style>
  <w:style w:type="character" w:styleId="ListLabel111">
    <w:name w:val="ListLabel 111"/>
    <w:qFormat/>
    <w:rPr>
      <w:rFonts w:cs="Wingdings"/>
      <w:sz w:val="20"/>
    </w:rPr>
  </w:style>
  <w:style w:type="character" w:styleId="ListLabel112">
    <w:name w:val="ListLabel 112"/>
    <w:qFormat/>
    <w:rPr>
      <w:rFonts w:cs="Wingdings"/>
      <w:sz w:val="20"/>
    </w:rPr>
  </w:style>
  <w:style w:type="character" w:styleId="ListLabel113">
    <w:name w:val="ListLabel 113"/>
    <w:qFormat/>
    <w:rPr>
      <w:rFonts w:cs="Wingdings"/>
      <w:sz w:val="20"/>
    </w:rPr>
  </w:style>
  <w:style w:type="character" w:styleId="ListLabel114">
    <w:name w:val="ListLabel 114"/>
    <w:qFormat/>
    <w:rPr>
      <w:rFonts w:cs="Wingdings"/>
      <w:sz w:val="20"/>
    </w:rPr>
  </w:style>
  <w:style w:type="character" w:styleId="ListLabel115">
    <w:name w:val="ListLabel 115"/>
    <w:qFormat/>
    <w:rPr>
      <w:rFonts w:cs="Wingdings"/>
      <w:sz w:val="20"/>
    </w:rPr>
  </w:style>
  <w:style w:type="character" w:styleId="ListLabel116">
    <w:name w:val="ListLabel 116"/>
    <w:qFormat/>
    <w:rPr>
      <w:rFonts w:cs="Wingdings"/>
      <w:sz w:val="20"/>
    </w:rPr>
  </w:style>
  <w:style w:type="character" w:styleId="ListLabel117">
    <w:name w:val="ListLabel 117"/>
    <w:qFormat/>
    <w:rPr>
      <w:rFonts w:cs="Wingdings"/>
      <w:sz w:val="20"/>
    </w:rPr>
  </w:style>
  <w:style w:type="character" w:styleId="ListLabel118">
    <w:name w:val="ListLabel 118"/>
    <w:qFormat/>
    <w:rPr>
      <w:rFonts w:cs="Symbol"/>
      <w:sz w:val="28"/>
    </w:rPr>
  </w:style>
  <w:style w:type="character" w:styleId="ListLabel119">
    <w:name w:val="ListLabel 119"/>
    <w:qFormat/>
    <w:rPr>
      <w:rFonts w:cs="Courier New"/>
      <w:sz w:val="20"/>
    </w:rPr>
  </w:style>
  <w:style w:type="character" w:styleId="ListLabel120">
    <w:name w:val="ListLabel 120"/>
    <w:qFormat/>
    <w:rPr>
      <w:rFonts w:cs="Wingdings"/>
      <w:sz w:val="20"/>
    </w:rPr>
  </w:style>
  <w:style w:type="character" w:styleId="ListLabel121">
    <w:name w:val="ListLabel 121"/>
    <w:qFormat/>
    <w:rPr>
      <w:rFonts w:cs="Wingdings"/>
      <w:sz w:val="20"/>
    </w:rPr>
  </w:style>
  <w:style w:type="character" w:styleId="ListLabel122">
    <w:name w:val="ListLabel 122"/>
    <w:qFormat/>
    <w:rPr>
      <w:rFonts w:cs="Wingdings"/>
      <w:sz w:val="20"/>
    </w:rPr>
  </w:style>
  <w:style w:type="character" w:styleId="ListLabel123">
    <w:name w:val="ListLabel 123"/>
    <w:qFormat/>
    <w:rPr>
      <w:rFonts w:cs="Wingdings"/>
      <w:sz w:val="20"/>
    </w:rPr>
  </w:style>
  <w:style w:type="character" w:styleId="ListLabel124">
    <w:name w:val="ListLabel 124"/>
    <w:qFormat/>
    <w:rPr>
      <w:rFonts w:cs="Wingdings"/>
      <w:sz w:val="20"/>
    </w:rPr>
  </w:style>
  <w:style w:type="character" w:styleId="ListLabel125">
    <w:name w:val="ListLabel 125"/>
    <w:qFormat/>
    <w:rPr>
      <w:rFonts w:cs="Wingdings"/>
      <w:sz w:val="20"/>
    </w:rPr>
  </w:style>
  <w:style w:type="character" w:styleId="ListLabel126">
    <w:name w:val="ListLabel 126"/>
    <w:qFormat/>
    <w:rPr>
      <w:rFonts w:cs="Wingdings"/>
      <w:sz w:val="20"/>
    </w:rPr>
  </w:style>
  <w:style w:type="character" w:styleId="ListLabel127">
    <w:name w:val="ListLabel 127"/>
    <w:qFormat/>
    <w:rPr>
      <w:rFonts w:cs="Symbol"/>
      <w:sz w:val="28"/>
    </w:rPr>
  </w:style>
  <w:style w:type="character" w:styleId="ListLabel128">
    <w:name w:val="ListLabel 128"/>
    <w:qFormat/>
    <w:rPr>
      <w:rFonts w:cs="Courier New"/>
      <w:sz w:val="20"/>
    </w:rPr>
  </w:style>
  <w:style w:type="character" w:styleId="ListLabel129">
    <w:name w:val="ListLabel 129"/>
    <w:qFormat/>
    <w:rPr>
      <w:rFonts w:cs="Wingdings"/>
      <w:sz w:val="20"/>
    </w:rPr>
  </w:style>
  <w:style w:type="character" w:styleId="ListLabel130">
    <w:name w:val="ListLabel 130"/>
    <w:qFormat/>
    <w:rPr>
      <w:rFonts w:cs="Wingdings"/>
      <w:sz w:val="20"/>
    </w:rPr>
  </w:style>
  <w:style w:type="character" w:styleId="ListLabel131">
    <w:name w:val="ListLabel 131"/>
    <w:qFormat/>
    <w:rPr>
      <w:rFonts w:cs="Wingdings"/>
      <w:sz w:val="20"/>
    </w:rPr>
  </w:style>
  <w:style w:type="character" w:styleId="ListLabel132">
    <w:name w:val="ListLabel 132"/>
    <w:qFormat/>
    <w:rPr>
      <w:rFonts w:cs="Wingdings"/>
      <w:sz w:val="20"/>
    </w:rPr>
  </w:style>
  <w:style w:type="character" w:styleId="ListLabel133">
    <w:name w:val="ListLabel 133"/>
    <w:qFormat/>
    <w:rPr>
      <w:rFonts w:cs="Wingdings"/>
      <w:sz w:val="20"/>
    </w:rPr>
  </w:style>
  <w:style w:type="character" w:styleId="ListLabel134">
    <w:name w:val="ListLabel 134"/>
    <w:qFormat/>
    <w:rPr>
      <w:rFonts w:cs="Wingdings"/>
      <w:sz w:val="20"/>
    </w:rPr>
  </w:style>
  <w:style w:type="character" w:styleId="ListLabel135">
    <w:name w:val="ListLabel 135"/>
    <w:qFormat/>
    <w:rPr>
      <w:rFonts w:cs="Wingdings"/>
      <w:sz w:val="20"/>
    </w:rPr>
  </w:style>
  <w:style w:type="character" w:styleId="ListLabel136">
    <w:name w:val="ListLabel 136"/>
    <w:qFormat/>
    <w:rPr>
      <w:rFonts w:cs="Symbol"/>
      <w:sz w:val="28"/>
    </w:rPr>
  </w:style>
  <w:style w:type="character" w:styleId="ListLabel137">
    <w:name w:val="ListLabel 137"/>
    <w:qFormat/>
    <w:rPr>
      <w:rFonts w:cs="Courier New"/>
      <w:sz w:val="20"/>
    </w:rPr>
  </w:style>
  <w:style w:type="character" w:styleId="ListLabel138">
    <w:name w:val="ListLabel 138"/>
    <w:qFormat/>
    <w:rPr>
      <w:rFonts w:cs="Wingdings"/>
      <w:sz w:val="20"/>
    </w:rPr>
  </w:style>
  <w:style w:type="character" w:styleId="ListLabel139">
    <w:name w:val="ListLabel 139"/>
    <w:qFormat/>
    <w:rPr>
      <w:rFonts w:cs="Wingdings"/>
      <w:sz w:val="20"/>
    </w:rPr>
  </w:style>
  <w:style w:type="character" w:styleId="ListLabel140">
    <w:name w:val="ListLabel 140"/>
    <w:qFormat/>
    <w:rPr>
      <w:rFonts w:cs="Wingdings"/>
      <w:sz w:val="20"/>
    </w:rPr>
  </w:style>
  <w:style w:type="character" w:styleId="ListLabel141">
    <w:name w:val="ListLabel 141"/>
    <w:qFormat/>
    <w:rPr>
      <w:rFonts w:cs="Wingdings"/>
      <w:sz w:val="20"/>
    </w:rPr>
  </w:style>
  <w:style w:type="character" w:styleId="ListLabel142">
    <w:name w:val="ListLabel 142"/>
    <w:qFormat/>
    <w:rPr>
      <w:rFonts w:cs="Wingdings"/>
      <w:sz w:val="20"/>
    </w:rPr>
  </w:style>
  <w:style w:type="character" w:styleId="ListLabel143">
    <w:name w:val="ListLabel 143"/>
    <w:qFormat/>
    <w:rPr>
      <w:rFonts w:cs="Wingdings"/>
      <w:sz w:val="20"/>
    </w:rPr>
  </w:style>
  <w:style w:type="character" w:styleId="ListLabel144">
    <w:name w:val="ListLabel 144"/>
    <w:qFormat/>
    <w:rPr>
      <w:rFonts w:cs="Wingdings"/>
      <w:sz w:val="2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96f7b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FD0DD-1071-44D9-A3AA-B2D761DB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LibreOffice/5.4.7.2$Windows_x86 LibreOffice_project/c838ef25c16710f8838b1faec480ebba495259d0</Application>
  <Pages>6</Pages>
  <Words>935</Words>
  <Characters>6484</Characters>
  <CharactersWithSpaces>7564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2021-07-28T05:58:00Z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2022-03-23T11:00:39Z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