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spacing w:lineRule="auto" w:line="276"/>
        <w:rPr>
          <w:b/>
          <w:b/>
          <w:szCs w:val="24"/>
        </w:rPr>
      </w:pPr>
      <w:r>
        <w:rPr>
          <w:b/>
          <w:szCs w:val="24"/>
        </w:rPr>
        <w:tab/>
        <w:tab/>
        <w:tab/>
        <w:tab/>
        <w:tab/>
        <w:tab/>
        <w:tab/>
        <w:tab/>
        <w:tab/>
        <w:tab/>
        <w:t>ИОТ №61</w:t>
      </w:r>
    </w:p>
    <w:p>
      <w:pPr>
        <w:pStyle w:val="2"/>
        <w:spacing w:lineRule="auto" w:line="276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bCs/>
          <w:color w:val="000000"/>
          <w:sz w:val="28"/>
          <w:szCs w:val="28"/>
        </w:rPr>
        <w:t>Приложение № 62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от «07» </w:t>
      </w:r>
      <w:r>
        <w:rPr>
          <w:bCs/>
          <w:color w:val="000000"/>
          <w:sz w:val="28"/>
          <w:szCs w:val="28"/>
          <w:u w:val="single"/>
        </w:rPr>
        <w:t xml:space="preserve">09  </w:t>
      </w:r>
      <w:r>
        <w:rPr>
          <w:bCs/>
          <w:color w:val="000000"/>
          <w:sz w:val="28"/>
          <w:szCs w:val="28"/>
        </w:rPr>
        <w:t>2021г. № 1584</w:t>
      </w:r>
    </w:p>
    <w:p>
      <w:pPr>
        <w:pStyle w:val="2"/>
        <w:spacing w:lineRule="auto" w:line="276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2"/>
        <w:spacing w:lineRule="auto" w:line="276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2"/>
        <w:spacing w:lineRule="auto" w:line="276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ИНСТРУКЦИЯ ПО ОХРАНЕ ТРУДА</w:t>
      </w:r>
    </w:p>
    <w:p>
      <w:pPr>
        <w:pStyle w:val="2"/>
        <w:spacing w:lineRule="auto" w:line="276"/>
        <w:rPr>
          <w:b/>
          <w:b/>
          <w:sz w:val="28"/>
          <w:szCs w:val="28"/>
        </w:rPr>
      </w:pPr>
      <w:bookmarkStart w:id="0" w:name="_Hlk482273701"/>
      <w:bookmarkEnd w:id="0"/>
      <w:r>
        <w:rPr>
          <w:b/>
          <w:sz w:val="28"/>
          <w:szCs w:val="28"/>
        </w:rPr>
        <w:t>ДЛЯ ПРОВИЗОРА</w:t>
      </w:r>
    </w:p>
    <w:p>
      <w:pPr>
        <w:pStyle w:val="1"/>
        <w:numPr>
          <w:ilvl w:val="0"/>
          <w:numId w:val="1"/>
        </w:numPr>
        <w:tabs>
          <w:tab w:val="left" w:pos="-993" w:leader="none"/>
        </w:tabs>
        <w:spacing w:before="240" w:after="120"/>
        <w:jc w:val="center"/>
        <w:rPr>
          <w:b/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ОБЩИЕ ТРЕБОВАНИЯ ОХРАНЫ ТРУДА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 К самостоятельной работе провизором допускаются лица, не моложе 18 лет,  имеющие высшее фармацевтическое образование, прошедшие: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предварительный при поступлении на работу и периодический  медицинский осмотр, 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вводный инструктаж;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первичный инструктаж </w:t>
      </w:r>
      <w:bookmarkStart w:id="1" w:name="_Hlk482278106"/>
      <w:r>
        <w:rPr>
          <w:rFonts w:cs="Times New Roman" w:ascii="Times New Roman" w:hAnsi="Times New Roman"/>
          <w:sz w:val="28"/>
          <w:szCs w:val="28"/>
        </w:rPr>
        <w:t>на рабочем месте</w:t>
      </w:r>
      <w:bookmarkEnd w:id="1"/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стажировку на рабочем месте под руководством лица, назначенного приказом по организации; 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инструктаж и проверку знаний на 1 группу по электробезопасности;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 Не реже одного раза в шесть месяцев провизор должен проходить повторный инструктаж по программе первичного инструктажа на рабочем месте. Лица, не прошедшие проверку знаний, к самостоятельной работе не допускаются.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1.3. При привлечении </w:t>
      </w:r>
      <w:bookmarkStart w:id="2" w:name="_Hlk482360725"/>
      <w:r>
        <w:rPr>
          <w:rFonts w:cs="Times New Roman" w:ascii="Times New Roman" w:hAnsi="Times New Roman"/>
          <w:sz w:val="28"/>
          <w:szCs w:val="28"/>
        </w:rPr>
        <w:t>провизор</w:t>
      </w:r>
      <w:bookmarkEnd w:id="2"/>
      <w:r>
        <w:rPr>
          <w:rFonts w:cs="Times New Roman" w:ascii="Times New Roman" w:hAnsi="Times New Roman"/>
          <w:sz w:val="28"/>
          <w:szCs w:val="28"/>
        </w:rPr>
        <w:t>а к выполнению разовых работ, не входящих в его обязанности, он должен пройти целевой инструктаж по данному виду работ.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При  нарушении провизором требований охраны труда, если эти нарушения создали реальную угрозу наступления тяжких последствий  (несчастный случай  на производстве,  авария и  т.п.), а так же при изменении технологических процессов, замене или модернизации оборудования, приспособлений, инструмента, при перерывах в работе более 2 месяцев или внесении изменений в настоящую инструкцию работник подлежит прохождению внепланового инструктажа.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В процессе приема рецептов и отпуска лекарственных средств провизор обязан соблюдать трудовую дисциплину, правила внутреннего трудового распорядка.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Провизор обязан: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соблюдать требования охраны труда;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правильно применять средства индивидуальной и коллективной защиты;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В целях предотвращения  пожара необходимо соблюдать следующие требования: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курить только в специально отведенных, оборудованных местах;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запрещается пользоваться открытым огнем;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 производить сушку санитарной одежды и обуви на нагревательных (отопительных) приборах;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обеспечивать свободный доступ к электрическим и коммутационным аппаратам (рубильникам, выключателям, автоматам) и первичным средствам пожаротушения. 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 В процессе работы на провизора могут воздействовать следующие опасные и вредные производственные факторы: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недостаточная освещенность рабочей зоны;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нервно-психические перегрузки;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повышенное напряжение органов зрения;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острые кромки, заусенцы и шероховатость на поверхностях  тары;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повышенное напряжение в электрической цепи, замыкание которой может произойти через тело человека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 Для защиты от воздействия опасных и вредных производственных факторов, провизор должен быть обеспечен санитарной одеждой.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1.12. </w:t>
      </w:r>
      <w:bookmarkStart w:id="3" w:name="_Hlk482360669"/>
      <w:r>
        <w:rPr>
          <w:rFonts w:cs="Times New Roman" w:ascii="Times New Roman" w:hAnsi="Times New Roman"/>
          <w:sz w:val="28"/>
          <w:szCs w:val="28"/>
        </w:rPr>
        <w:t>Провизор</w:t>
      </w:r>
      <w:bookmarkEnd w:id="3"/>
      <w:r>
        <w:rPr>
          <w:rFonts w:cs="Times New Roman" w:ascii="Times New Roman" w:hAnsi="Times New Roman"/>
          <w:sz w:val="28"/>
          <w:szCs w:val="28"/>
        </w:rPr>
        <w:t xml:space="preserve"> должен знать места расположения первичных средств пожаротушения и уметь пользоваться ими.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1.13. Провизор должен уметь оказывать первую помощь пострадавшему в объеме инструкции «Алгоритмы оказания первой помощи пострадавшим».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1.14. Знать места расположения аптечки первой помощи при несчастных случаях и правила по ее применению.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1.16. При обнаружении нарушений требований безопасности, правил и норм по охране труда и пожарной безопасности, необходимо сообщить об этом своему непосредственному руководителю.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1.17. Курить и принимать пищу разрешается только в специально отведенных для этой цели местах.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1.18. Соблюдать правила личной гигиены. Мыть руки перед приемом пищи, после посещения мест общего пользования.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1.19. Не допускается выполнять работу,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в рабочее время.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1.20. Лица, допустившие невыполнение или нарушение инструкции об охране труда, привлекаются к дисциплинарной ответственности в соответствии законодательством РФ 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>
      <w:pPr>
        <w:pStyle w:val="Style21"/>
        <w:spacing w:lineRule="auto" w:line="276" w:before="240" w:after="120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ТРЕБОВАНИЯ </w:t>
      </w:r>
      <w:r>
        <w:rPr>
          <w:rFonts w:ascii="Times New Roman" w:hAnsi="Times New Roman"/>
          <w:b/>
          <w:bCs/>
          <w:color w:val="000001"/>
          <w:sz w:val="28"/>
          <w:szCs w:val="28"/>
        </w:rPr>
        <w:t>ОХРАНЫ ТРУДА</w:t>
      </w:r>
      <w:r>
        <w:rPr>
          <w:rFonts w:ascii="Times New Roman" w:hAnsi="Times New Roman"/>
          <w:b/>
          <w:sz w:val="28"/>
          <w:szCs w:val="28"/>
        </w:rPr>
        <w:t xml:space="preserve"> ПЕРЕД НАЧАЛОМ РАБОТЫ 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Провизор обязан подготовить свое рабочее место к безопасной работе, привести его в надлежащее санитарное состояние.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Перед началом работы провизор, принимая рабочее место, должен проверить исправность работы приборов, оборудования, средств механизации и других предметов оснащения рабочего места.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На рабочем месте не должны находиться неиспользуемые в работе оборудование, электроприборы, приспособления, посуда и другие вспомогательные материалы.</w:t>
      </w:r>
    </w:p>
    <w:p>
      <w:pPr>
        <w:pStyle w:val="Style21"/>
        <w:spacing w:lineRule="auto" w:line="276" w:before="240" w:after="120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ТРЕБОВАНИЯ </w:t>
      </w:r>
      <w:r>
        <w:rPr>
          <w:rFonts w:ascii="Times New Roman" w:hAnsi="Times New Roman"/>
          <w:b/>
          <w:bCs/>
          <w:color w:val="000001"/>
          <w:sz w:val="28"/>
          <w:szCs w:val="28"/>
        </w:rPr>
        <w:t>ОХРАНЫ ТРУДА</w:t>
      </w:r>
      <w:r>
        <w:rPr>
          <w:rFonts w:ascii="Times New Roman" w:hAnsi="Times New Roman"/>
          <w:b/>
          <w:sz w:val="28"/>
          <w:szCs w:val="28"/>
        </w:rPr>
        <w:t xml:space="preserve"> ВО ВРЕМЯ РАБОТЫ 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Провизор во время работы должен не допускать спешки, принимать рецепты и отпускать лекарственные средства с учетом безопасных приемов и методов труда.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использовании различных приборов и аппаратов, средств механизации и приспособлений провизор должен руководствоваться правилами (инструкциями), изложенными в технических паспортах, прилагаемых к приборам или аппаратам.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Провизор не должен пользоваться приборами без предварительного обучения работы с ними.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включении электроприборов и другого электрооборудования провизор должен проверить соответствие напряжения прибора, указанного в паспорте, напряжению в сети, а также наличие заземления для тех из них, которые имеют металлические корпуса. Он не должен производить включение их мокрыми руками.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Провизор должен беречь руки от порезов, следить за целостностью склянок и других стеклянных предметов.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Отпускаемые лекарственные средства, содержащие ядовитые или наркотические вещества, должны храниться в специальном шкафу.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При использовании лестниц и стремянок необходимо предварительно проверить их исправность. Запрещается применять случайные подставки (ящики, стулья и т.д.).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Лестницы-стремянки должны иметь на тетивах резиновые башмаки.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Для защиты провизора от капельной инфекции на его рабочем месте должны быть оборудованы окна с двойным стеклом и боковыми отверстиями для передачи рецептов и лекарственных средств.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В период массовых простудных заболеваний провизор должен прикрывать рот и нос марлевой повязкой и дезинфицировать руки 0,5%-ным раствором хлорамина.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Для предупреждения зрительного напряжения провизор при необходимости должен включать дополнительное местное освещение на рабочем месте.</w:t>
      </w:r>
    </w:p>
    <w:p>
      <w:pPr>
        <w:pStyle w:val="Style21"/>
        <w:spacing w:lineRule="auto" w:line="276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Провизор должен постоянно поддерживать свое рабочее место в надлежащем санитарном состоянии.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3.11. При выполнении погрузочно-разгрузочных работ вручную должны соблюдаться следующие </w:t>
      </w:r>
      <w:bookmarkStart w:id="4" w:name="_Hlk482282620"/>
      <w:r>
        <w:rPr>
          <w:rFonts w:cs="Times New Roman" w:ascii="Times New Roman" w:hAnsi="Times New Roman"/>
          <w:sz w:val="28"/>
          <w:szCs w:val="28"/>
        </w:rPr>
        <w:t>нормы</w:t>
      </w:r>
      <w:bookmarkEnd w:id="4"/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разовый подъём (без перемещения) тяжестей: для женщин - не более 15 кг.,  для мужчин - не более 50 кг.;</w:t>
      </w:r>
    </w:p>
    <w:p>
      <w:pPr>
        <w:pStyle w:val="FORMATTEXT"/>
        <w:numPr>
          <w:ilvl w:val="0"/>
          <w:numId w:val="3"/>
        </w:numPr>
        <w:tabs>
          <w:tab w:val="left" w:pos="567" w:leader="none"/>
        </w:tabs>
        <w:spacing w:lineRule="auto" w:line="276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482282904"/>
      <w:bookmarkEnd w:id="5"/>
      <w:r>
        <w:rPr>
          <w:rFonts w:cs="Times New Roman" w:ascii="Times New Roman" w:hAnsi="Times New Roman"/>
          <w:sz w:val="28"/>
          <w:szCs w:val="28"/>
        </w:rPr>
        <w:t>подъем и перемещение тяжестей: а) при чередовании с другой работой (до 2 раз в час) для женщин - не более 10 кг.,  для мужчин - не более 30 кг.;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482283259"/>
      <w:bookmarkEnd w:id="6"/>
      <w:r>
        <w:rPr>
          <w:rFonts w:cs="Times New Roman" w:ascii="Times New Roman" w:hAnsi="Times New Roman"/>
          <w:sz w:val="28"/>
          <w:szCs w:val="28"/>
        </w:rPr>
        <w:t>б)  постоянно в течение смены - для женщин не более 7 кг.,  для мужчин не более 15 кг.</w:t>
      </w:r>
    </w:p>
    <w:p>
      <w:pPr>
        <w:pStyle w:val="FORMATTEXT"/>
        <w:spacing w:lineRule="auto" w:line="276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 превышении указанных норм труд работника считается тяжелым. В подобных случаях необходимо применять средства малой механизации (тележки и т.п.).</w:t>
      </w:r>
    </w:p>
    <w:p>
      <w:pPr>
        <w:pStyle w:val="Style21"/>
        <w:spacing w:lineRule="auto" w:line="276" w:before="240" w:after="120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ТРЕБОВАНИЯ </w:t>
      </w:r>
      <w:r>
        <w:rPr>
          <w:rFonts w:ascii="Times New Roman" w:hAnsi="Times New Roman"/>
          <w:b/>
          <w:bCs/>
          <w:color w:val="000001"/>
          <w:sz w:val="28"/>
          <w:szCs w:val="28"/>
        </w:rPr>
        <w:t>ОХРАНЫ ТРУДА</w:t>
      </w:r>
      <w:r>
        <w:rPr>
          <w:rFonts w:ascii="Times New Roman" w:hAnsi="Times New Roman"/>
          <w:b/>
          <w:sz w:val="28"/>
          <w:szCs w:val="28"/>
        </w:rPr>
        <w:t xml:space="preserve"> В АВАРИЙНЫХ СИТУАЦИЯХ </w:t>
      </w:r>
    </w:p>
    <w:p>
      <w:pPr>
        <w:pStyle w:val="FORMATTEXT"/>
        <w:spacing w:lineRule="auto" w:line="276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 При поражении электрическим током необходимо освободить пострадавшего от действия электрического тока, соблюдая меры безопасности, оказать ему первую доврачебную помощь и  при необходимости обратиться за помощью в медицинское учреждение.</w:t>
      </w:r>
    </w:p>
    <w:p>
      <w:pPr>
        <w:pStyle w:val="FORMATTEXT"/>
        <w:spacing w:lineRule="auto" w:line="276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 При возникновении пожара, необходимо вызвать пожарную команду и принять меры по тушению пожара первичными средствами пожаротушения, соблюдая меры личной безопасности. Сообщить о случившемся своему непосредственному руководителю.</w:t>
      </w:r>
    </w:p>
    <w:p>
      <w:pPr>
        <w:pStyle w:val="FORMATTEXT"/>
        <w:spacing w:lineRule="auto" w:line="276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 При несчастном случае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>
      <w:pPr>
        <w:pStyle w:val="Style21"/>
        <w:spacing w:lineRule="auto" w:line="276" w:before="240" w:after="240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ТРЕБОВАНИЯ </w:t>
      </w:r>
      <w:r>
        <w:rPr>
          <w:rFonts w:ascii="Times New Roman" w:hAnsi="Times New Roman"/>
          <w:b/>
          <w:bCs/>
          <w:color w:val="000001"/>
          <w:sz w:val="28"/>
          <w:szCs w:val="28"/>
        </w:rPr>
        <w:t>ОХРАНЫ ТРУДА</w:t>
      </w:r>
      <w:r>
        <w:rPr>
          <w:rFonts w:ascii="Times New Roman" w:hAnsi="Times New Roman"/>
          <w:b/>
          <w:sz w:val="28"/>
          <w:szCs w:val="28"/>
        </w:rPr>
        <w:t xml:space="preserve"> ПО ОКОНЧАНИИ РАБОТЫ</w:t>
      </w:r>
    </w:p>
    <w:p>
      <w:pPr>
        <w:pStyle w:val="Style21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Провизор должен отключить приборы и аппараты (кроме холодильника), которыми он пользовался в процессе приема рецептов и отпуска лекарственных средств.</w:t>
      </w:r>
    </w:p>
    <w:p>
      <w:pPr>
        <w:pStyle w:val="Style21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По окончании работы провизор должен вымыть стол теплой водой с мылом, при необходимости - дезинфицирующим раствором, и выполнить все требования санитарного режима.</w:t>
      </w:r>
    </w:p>
    <w:p>
      <w:pPr>
        <w:pStyle w:val="Style21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В конце рабочего дня провизор должен снять санитарную одежду и убрать их в специальный шкаф, вымыть тщательно руки и выполнить все требования личной гигиены сотрудников аптеки.</w:t>
      </w:r>
    </w:p>
    <w:p>
      <w:pPr>
        <w:pStyle w:val="Normal"/>
        <w:overflowPunct w:val="true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В случае выявления в процессе работы недостатков эксплуатации или неисправности аппаратов, приборов и оборудования провизор должен известить об этом непосредственного руководителя.</w:t>
      </w:r>
    </w:p>
    <w:p>
      <w:pPr>
        <w:pStyle w:val="Normal"/>
        <w:overflowPunct w:val="true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overflowPunct w:val="true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89" w:leader="none"/>
        </w:tabs>
        <w:spacing w:lineRule="auto" w:line="276" w:before="0" w:after="12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tabs>
          <w:tab w:val="left" w:pos="989" w:leader="none"/>
        </w:tabs>
        <w:spacing w:lineRule="auto" w:line="276" w:before="0" w:after="1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ОЗНАКОМЛЕНИЯ</w:t>
      </w:r>
    </w:p>
    <w:tbl>
      <w:tblPr>
        <w:tblW w:w="995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4"/>
        <w:gridCol w:w="3111"/>
        <w:gridCol w:w="2223"/>
        <w:gridCol w:w="2025"/>
        <w:gridCol w:w="1990"/>
        <w:gridCol w:w="13"/>
      </w:tblGrid>
      <w:tr>
        <w:trPr/>
        <w:tc>
          <w:tcPr>
            <w:tcW w:w="3705" w:type="dxa"/>
            <w:gridSpan w:val="2"/>
            <w:tcBorders/>
            <w:shd w:fill="auto" w:val="clear"/>
          </w:tcPr>
          <w:p>
            <w:pPr>
              <w:pStyle w:val="Normal"/>
              <w:spacing w:before="12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инструкцией по охране труда</w:t>
            </w:r>
          </w:p>
        </w:tc>
        <w:tc>
          <w:tcPr>
            <w:tcW w:w="6238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FORMATTEXT"/>
              <w:spacing w:lineRule="auto" w:line="276" w:before="120" w:after="0"/>
              <w:rPr>
                <w:rFonts w:ascii="Times New Roman" w:hAnsi="Times New Roman" w:cs="Times New Roman"/>
                <w:i/>
                <w:i/>
                <w:sz w:val="28"/>
                <w:szCs w:val="28"/>
              </w:rPr>
            </w:pPr>
            <w:bookmarkStart w:id="7" w:name="_GoBack"/>
            <w:bookmarkEnd w:id="7"/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для провизора</w:t>
            </w:r>
          </w:p>
        </w:tc>
        <w:tc>
          <w:tcPr>
            <w:tcW w:w="13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943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2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3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943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Инструкцию изучил и обязуюсь выполнять:</w:t>
            </w:r>
          </w:p>
        </w:tc>
        <w:tc>
          <w:tcPr>
            <w:tcW w:w="13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4" w:type="dxa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№ </w:t>
            </w:r>
            <w:r>
              <w:rPr>
                <w:rFonts w:eastAsia="Calibri"/>
                <w:sz w:val="28"/>
                <w:szCs w:val="28"/>
              </w:rPr>
              <w:t>п/п</w:t>
            </w:r>
          </w:p>
        </w:tc>
        <w:tc>
          <w:tcPr>
            <w:tcW w:w="5334" w:type="dxa"/>
            <w:gridSpan w:val="2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Ф.И.О.</w:t>
            </w:r>
          </w:p>
        </w:tc>
        <w:tc>
          <w:tcPr>
            <w:tcW w:w="2025" w:type="dxa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2003" w:type="dxa"/>
            <w:gridSpan w:val="2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Подпись</w:t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454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4" w:type="dxa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ind w:left="397" w:hanging="3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334" w:type="dxa"/>
            <w:gridSpan w:val="2"/>
            <w:tcBorders/>
            <w:shd w:fill="auto" w:val="clear"/>
          </w:tcPr>
          <w:p>
            <w:pPr>
              <w:pStyle w:val="Normal"/>
              <w:spacing w:before="60" w:after="6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25" w:type="dxa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0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</w:tbl>
    <w:p>
      <w:pPr>
        <w:pStyle w:val="Normal"/>
        <w:pBdr/>
        <w:jc w:val="center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708" w:header="397" w:top="1135" w:footer="397" w:bottom="1135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nsultan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 Narrow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94" w:hanging="720"/>
      </w:pPr>
    </w:lvl>
    <w:lvl w:ilvl="3">
      <w:start w:val="1"/>
      <w:numFmt w:val="decimal"/>
      <w:lvlText w:val="%1.%2.%3.%4."/>
      <w:lvlJc w:val="left"/>
      <w:pPr>
        <w:ind w:left="1701" w:hanging="720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475" w:hanging="1080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ind w:left="12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91f10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4208d3"/>
    <w:pPr>
      <w:keepNext w:val="true"/>
      <w:ind w:left="426" w:hanging="426"/>
      <w:jc w:val="both"/>
      <w:outlineLvl w:val="0"/>
    </w:pPr>
    <w:rPr>
      <w:sz w:val="24"/>
    </w:rPr>
  </w:style>
  <w:style w:type="paragraph" w:styleId="2">
    <w:name w:val="Heading 2"/>
    <w:basedOn w:val="Normal"/>
    <w:qFormat/>
    <w:rsid w:val="004208d3"/>
    <w:pPr>
      <w:keepNext w:val="true"/>
      <w:jc w:val="center"/>
      <w:outlineLvl w:val="1"/>
    </w:pPr>
    <w:rPr>
      <w:sz w:val="24"/>
    </w:rPr>
  </w:style>
  <w:style w:type="paragraph" w:styleId="3">
    <w:name w:val="Heading 3"/>
    <w:basedOn w:val="Normal"/>
    <w:qFormat/>
    <w:rsid w:val="004208d3"/>
    <w:pPr>
      <w:keepNext w:val="true"/>
      <w:jc w:val="center"/>
      <w:outlineLvl w:val="2"/>
    </w:pPr>
    <w:rPr>
      <w:b/>
      <w:bCs/>
      <w:sz w:val="24"/>
    </w:rPr>
  </w:style>
  <w:style w:type="paragraph" w:styleId="5">
    <w:name w:val="Heading 5"/>
    <w:basedOn w:val="Normal"/>
    <w:qFormat/>
    <w:rsid w:val="004208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Normal"/>
    <w:qFormat/>
    <w:rsid w:val="004208d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Normal"/>
    <w:qFormat/>
    <w:rsid w:val="004208d3"/>
    <w:pPr>
      <w:spacing w:before="240" w:after="60"/>
      <w:outlineLvl w:val="7"/>
    </w:pPr>
    <w:rPr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208d3"/>
    <w:rPr/>
  </w:style>
  <w:style w:type="character" w:styleId="21" w:customStyle="1">
    <w:name w:val="Основной текст с отступом 2 Знак"/>
    <w:basedOn w:val="DefaultParagraphFont"/>
    <w:link w:val="21"/>
    <w:qFormat/>
    <w:rsid w:val="00ea6054"/>
    <w:rPr/>
  </w:style>
  <w:style w:type="character" w:styleId="31" w:customStyle="1">
    <w:name w:val="Основной текст с отступом 3 Знак"/>
    <w:link w:val="31"/>
    <w:qFormat/>
    <w:rsid w:val="00bd4b89"/>
    <w:rPr>
      <w:sz w:val="16"/>
      <w:szCs w:val="16"/>
    </w:rPr>
  </w:style>
  <w:style w:type="character" w:styleId="Style8" w:customStyle="1">
    <w:name w:val="Текст Знак"/>
    <w:link w:val="a9"/>
    <w:uiPriority w:val="99"/>
    <w:qFormat/>
    <w:rsid w:val="00e043f9"/>
    <w:rPr>
      <w:rFonts w:ascii="Arial" w:hAnsi="Arial" w:eastAsia="Calibri" w:cs="Arial"/>
      <w:lang w:eastAsia="en-US"/>
    </w:rPr>
  </w:style>
  <w:style w:type="character" w:styleId="Style9" w:customStyle="1">
    <w:name w:val="Верхний колонтитул Знак"/>
    <w:basedOn w:val="DefaultParagraphFont"/>
    <w:link w:val="ab"/>
    <w:uiPriority w:val="99"/>
    <w:qFormat/>
    <w:rsid w:val="00e043f9"/>
    <w:rPr/>
  </w:style>
  <w:style w:type="character" w:styleId="Style10" w:customStyle="1">
    <w:name w:val="Основной текст Знак"/>
    <w:link w:val="a3"/>
    <w:qFormat/>
    <w:rsid w:val="00891f10"/>
    <w:rPr>
      <w:sz w:val="24"/>
    </w:rPr>
  </w:style>
  <w:style w:type="character" w:styleId="ConsNonformat" w:customStyle="1">
    <w:name w:val="ConsNonformat Знак"/>
    <w:link w:val="ConsNonformat"/>
    <w:qFormat/>
    <w:rsid w:val="00891f10"/>
    <w:rPr>
      <w:rFonts w:ascii="Consultant" w:hAnsi="Consultant"/>
      <w:lang w:val="ru-RU" w:eastAsia="ru-RU" w:bidi="ar-SA"/>
    </w:rPr>
  </w:style>
  <w:style w:type="character" w:styleId="Appleconvertedspace" w:customStyle="1">
    <w:name w:val="apple-converted-space"/>
    <w:qFormat/>
    <w:rsid w:val="00103f20"/>
    <w:rPr/>
  </w:style>
  <w:style w:type="character" w:styleId="Style11">
    <w:name w:val="Интернет-ссылка"/>
    <w:uiPriority w:val="99"/>
    <w:semiHidden/>
    <w:unhideWhenUsed/>
    <w:rsid w:val="00f44884"/>
    <w:rPr>
      <w:rFonts w:ascii="Times New Roman" w:hAnsi="Times New Roman" w:cs="Times New Roman"/>
      <w:color w:val="000080"/>
      <w:u w:val="single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  <w:sz w:val="24"/>
      <w:szCs w:val="24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link w:val="a4"/>
    <w:rsid w:val="004208d3"/>
    <w:pPr/>
    <w:rPr>
      <w:sz w:val="24"/>
    </w:rPr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odyText3">
    <w:name w:val="Body Text 3"/>
    <w:basedOn w:val="Normal"/>
    <w:qFormat/>
    <w:rsid w:val="004208d3"/>
    <w:pPr>
      <w:jc w:val="both"/>
    </w:pPr>
    <w:rPr>
      <w:sz w:val="24"/>
    </w:rPr>
  </w:style>
  <w:style w:type="paragraph" w:styleId="11" w:customStyle="1">
    <w:name w:val="Обычный1"/>
    <w:qFormat/>
    <w:rsid w:val="004208d3"/>
    <w:pPr>
      <w:widowControl w:val="false"/>
      <w:bidi w:val="0"/>
      <w:spacing w:lineRule="auto" w:line="300"/>
      <w:ind w:left="200" w:hanging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Style17">
    <w:name w:val="Footer"/>
    <w:basedOn w:val="Normal"/>
    <w:rsid w:val="004208d3"/>
    <w:pPr>
      <w:tabs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4208d3"/>
    <w:pPr/>
    <w:rPr>
      <w:b/>
      <w:sz w:val="24"/>
    </w:rPr>
  </w:style>
  <w:style w:type="paragraph" w:styleId="Style18">
    <w:name w:val="Body Text Indent"/>
    <w:basedOn w:val="Normal"/>
    <w:rsid w:val="004208d3"/>
    <w:pPr>
      <w:ind w:right="-1" w:firstLine="720"/>
    </w:pPr>
    <w:rPr>
      <w:sz w:val="24"/>
    </w:rPr>
  </w:style>
  <w:style w:type="paragraph" w:styleId="Style19">
    <w:name w:val="Title"/>
    <w:basedOn w:val="Normal"/>
    <w:qFormat/>
    <w:rsid w:val="004208d3"/>
    <w:pPr>
      <w:jc w:val="center"/>
    </w:pPr>
    <w:rPr>
      <w:rFonts w:ascii="Arial Narrow" w:hAnsi="Arial Narrow"/>
      <w:sz w:val="24"/>
    </w:rPr>
  </w:style>
  <w:style w:type="paragraph" w:styleId="BodyTextIndent2">
    <w:name w:val="Body Text Indent 2"/>
    <w:basedOn w:val="Normal"/>
    <w:link w:val="22"/>
    <w:qFormat/>
    <w:rsid w:val="00ea6054"/>
    <w:pPr>
      <w:spacing w:lineRule="auto" w:line="480" w:before="0" w:after="120"/>
      <w:ind w:left="283" w:hanging="0"/>
    </w:pPr>
    <w:rPr/>
  </w:style>
  <w:style w:type="paragraph" w:styleId="12" w:customStyle="1">
    <w:name w:val="Îáû÷íûé1"/>
    <w:qFormat/>
    <w:rsid w:val="00d26794"/>
    <w:pPr>
      <w:widowControl w:val="fals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d26794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odyTextIndent3">
    <w:name w:val="Body Text Indent 3"/>
    <w:basedOn w:val="Normal"/>
    <w:link w:val="32"/>
    <w:qFormat/>
    <w:rsid w:val="00bd4b89"/>
    <w:pPr>
      <w:spacing w:before="0" w:after="120"/>
      <w:ind w:left="283" w:hanging="0"/>
    </w:pPr>
    <w:rPr>
      <w:sz w:val="16"/>
      <w:szCs w:val="16"/>
    </w:rPr>
  </w:style>
  <w:style w:type="paragraph" w:styleId="PlainText">
    <w:name w:val="Plain Text"/>
    <w:basedOn w:val="Normal"/>
    <w:link w:val="aa"/>
    <w:uiPriority w:val="99"/>
    <w:unhideWhenUsed/>
    <w:qFormat/>
    <w:rsid w:val="00e043f9"/>
    <w:pPr/>
    <w:rPr>
      <w:rFonts w:ascii="Arial" w:hAnsi="Arial" w:eastAsia="Calibri"/>
      <w:lang w:eastAsia="en-US"/>
    </w:rPr>
  </w:style>
  <w:style w:type="paragraph" w:styleId="ConsTitle" w:customStyle="1">
    <w:name w:val="ConsTitle"/>
    <w:uiPriority w:val="99"/>
    <w:qFormat/>
    <w:rsid w:val="00e043f9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Style20">
    <w:name w:val="Header"/>
    <w:basedOn w:val="Normal"/>
    <w:link w:val="ac"/>
    <w:uiPriority w:val="99"/>
    <w:rsid w:val="00e043f9"/>
    <w:pPr>
      <w:tabs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5e7021"/>
    <w:pPr>
      <w:overflowPunct w:val="true"/>
      <w:spacing w:before="0" w:after="0"/>
      <w:ind w:left="720" w:hanging="0"/>
      <w:contextualSpacing/>
    </w:pPr>
    <w:rPr>
      <w:color w:val="000000"/>
      <w:sz w:val="28"/>
    </w:rPr>
  </w:style>
  <w:style w:type="paragraph" w:styleId="NormalWeb">
    <w:name w:val="Normal (Web)"/>
    <w:basedOn w:val="Normal"/>
    <w:uiPriority w:val="99"/>
    <w:unhideWhenUsed/>
    <w:qFormat/>
    <w:rsid w:val="00983c04"/>
    <w:pPr>
      <w:spacing w:beforeAutospacing="1" w:afterAutospacing="1"/>
    </w:pPr>
    <w:rPr>
      <w:sz w:val="24"/>
      <w:szCs w:val="24"/>
    </w:rPr>
  </w:style>
  <w:style w:type="paragraph" w:styleId="ConsNonformat1" w:customStyle="1">
    <w:name w:val="ConsNonformat"/>
    <w:link w:val="ConsNonformat0"/>
    <w:qFormat/>
    <w:rsid w:val="00891f10"/>
    <w:pPr>
      <w:widowControl w:val="false"/>
      <w:bidi w:val="0"/>
      <w:snapToGrid w:val="false"/>
      <w:jc w:val="left"/>
    </w:pPr>
    <w:rPr>
      <w:rFonts w:ascii="Consultant" w:hAnsi="Consultant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11" w:customStyle="1">
    <w:name w:val="Основной текст 21"/>
    <w:basedOn w:val="Normal"/>
    <w:qFormat/>
    <w:rsid w:val="0094174a"/>
    <w:pPr>
      <w:spacing w:lineRule="auto" w:line="360" w:before="0" w:after="120"/>
      <w:ind w:firstLine="624"/>
      <w:jc w:val="both"/>
    </w:pPr>
    <w:rPr>
      <w:sz w:val="24"/>
    </w:rPr>
  </w:style>
  <w:style w:type="paragraph" w:styleId="FORMATTEXT" w:customStyle="1">
    <w:name w:val=".FORMATTEXT"/>
    <w:uiPriority w:val="99"/>
    <w:qFormat/>
    <w:rsid w:val="00e439bd"/>
    <w:pPr>
      <w:widowControl w:val="false"/>
      <w:bidi w:val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HEADERTEXT" w:customStyle="1">
    <w:name w:val=".HEADERTEXT"/>
    <w:uiPriority w:val="99"/>
    <w:qFormat/>
    <w:rsid w:val="00e439bd"/>
    <w:pPr>
      <w:widowControl w:val="false"/>
      <w:bidi w:val="0"/>
      <w:jc w:val="left"/>
    </w:pPr>
    <w:rPr>
      <w:rFonts w:ascii="Arial" w:hAnsi="Arial" w:cs="Arial" w:eastAsia="Times New Roman"/>
      <w:color w:val="2B4279"/>
      <w:kern w:val="0"/>
      <w:sz w:val="20"/>
      <w:szCs w:val="20"/>
      <w:lang w:val="ru-RU" w:eastAsia="ru-RU" w:bidi="ar-SA"/>
    </w:rPr>
  </w:style>
  <w:style w:type="paragraph" w:styleId="Style21" w:customStyle="1">
    <w:name w:val="Текстовка"/>
    <w:basedOn w:val="Normal"/>
    <w:qFormat/>
    <w:rsid w:val="0072625b"/>
    <w:pPr>
      <w:ind w:firstLine="567"/>
      <w:jc w:val="both"/>
    </w:pPr>
    <w:rPr>
      <w:rFonts w:ascii="Arial" w:hAnsi="Arial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931b86"/>
    <w:pPr/>
    <w:rPr>
      <w:rFonts w:asciiTheme="minorHAnsi" w:hAnsiTheme="minorHAnsi" w:eastAsiaTheme="minorHAnsi" w:cstheme="minorBidi"/>
      <w:lang w:val="en-US"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LibreOffice/5.4.7.2$Windows_x86 LibreOffice_project/c838ef25c16710f8838b1faec480ebba495259d0</Application>
  <Pages>6</Pages>
  <Words>1266</Words>
  <Characters>8389</Characters>
  <CharactersWithSpaces>9808</CharactersWithSpaces>
  <Paragraphs>122</Paragraphs>
  <Company>СИОТ ПРО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2021-08-24T13:08:00Z</dcterms:created>
  <dc:creator>Антон Хабиров;Marina Khabirova;Марина Хабирова</dc:creator>
  <dc:description/>
  <cp:keywords>инструкция по охране труда</cp:keywords>
  <dc:language>ru-RU</dc:language>
  <cp:lastModifiedBy/>
  <cp:lastPrinted>2012-04-23T11:01:00Z</cp:lastPrinted>
  <dcterms:modified xsi:type="dcterms:W3CDTF">2022-03-24T09:19:13Z</dcterms:modified>
  <cp:revision>4</cp:revision>
  <dc:subject/>
  <dc:title>СИОТ ПРО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СИОТ ПРО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